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234F1" w14:textId="4F8D32F7" w:rsidR="00197567" w:rsidRPr="00120BC5" w:rsidRDefault="00197567" w:rsidP="00197567">
      <w:pPr>
        <w:pStyle w:val="Header"/>
        <w:rPr>
          <w:sz w:val="24"/>
          <w:szCs w:val="24"/>
        </w:rPr>
      </w:pPr>
      <w:bookmarkStart w:id="0" w:name="_Hlk527628066"/>
      <w:r w:rsidRPr="00120BC5">
        <w:rPr>
          <w:sz w:val="24"/>
          <w:szCs w:val="24"/>
        </w:rPr>
        <w:t>3GPP TSG-RAN WG3 #1</w:t>
      </w:r>
      <w:r>
        <w:rPr>
          <w:sz w:val="24"/>
          <w:szCs w:val="24"/>
        </w:rPr>
        <w:t>21</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Pr>
          <w:sz w:val="24"/>
          <w:szCs w:val="24"/>
        </w:rPr>
        <w:t>401</w:t>
      </w:r>
      <w:r>
        <w:rPr>
          <w:sz w:val="24"/>
          <w:szCs w:val="24"/>
        </w:rPr>
        <w:t>1</w:t>
      </w:r>
    </w:p>
    <w:p w14:paraId="77D5E1AE" w14:textId="77777777" w:rsidR="00197567" w:rsidRDefault="00197567" w:rsidP="00197567">
      <w:pPr>
        <w:pStyle w:val="Header"/>
        <w:rPr>
          <w:sz w:val="24"/>
          <w:szCs w:val="24"/>
        </w:rPr>
      </w:pPr>
      <w:r w:rsidRPr="006719CB">
        <w:rPr>
          <w:sz w:val="24"/>
          <w:szCs w:val="24"/>
        </w:rPr>
        <w:t>21th – 25th Aug 2023</w:t>
      </w:r>
    </w:p>
    <w:p w14:paraId="633FD223" w14:textId="77777777" w:rsidR="00197567" w:rsidRDefault="00197567" w:rsidP="00197567">
      <w:pPr>
        <w:pStyle w:val="Header"/>
        <w:rPr>
          <w:sz w:val="24"/>
          <w:szCs w:val="24"/>
        </w:rPr>
      </w:pPr>
      <w:r w:rsidRPr="006719CB">
        <w:rPr>
          <w:sz w:val="24"/>
          <w:szCs w:val="24"/>
        </w:rPr>
        <w:t>Toulouse, France</w:t>
      </w:r>
    </w:p>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zh-CN"/>
        </w:rPr>
      </w:pPr>
      <w:r w:rsidRPr="00B266B0">
        <w:rPr>
          <w:rFonts w:cs="Arial"/>
          <w:b/>
          <w:bCs/>
          <w:sz w:val="24"/>
          <w:lang w:eastAsia="zh-CN"/>
        </w:rPr>
        <w:t>Agenda item:</w:t>
      </w:r>
      <w:r>
        <w:rPr>
          <w:rFonts w:cs="Arial"/>
          <w:b/>
          <w:bCs/>
          <w:sz w:val="24"/>
          <w:lang w:eastAsia="zh-CN"/>
        </w:rPr>
        <w:tab/>
      </w:r>
      <w:r w:rsidR="00D65F39" w:rsidRPr="00ED4A78">
        <w:rPr>
          <w:rFonts w:cs="Arial"/>
          <w:b/>
          <w:bCs/>
          <w:sz w:val="24"/>
          <w:lang w:eastAsia="zh-CN"/>
        </w:rPr>
        <w:t>13.</w:t>
      </w:r>
      <w:r w:rsidR="00FF5D5F" w:rsidRPr="00ED4A78">
        <w:rPr>
          <w:rFonts w:cs="Arial"/>
          <w:b/>
          <w:bCs/>
          <w:sz w:val="24"/>
          <w:lang w:eastAsia="zh-CN"/>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10DD013F" w:rsidR="00E72630" w:rsidRDefault="00B575DB" w:rsidP="00AF156C">
      <w:pPr>
        <w:overflowPunct/>
        <w:autoSpaceDE/>
        <w:autoSpaceDN/>
        <w:adjustRightInd/>
        <w:jc w:val="left"/>
        <w:textAlignment w:val="auto"/>
      </w:pPr>
      <w:r>
        <w:t xml:space="preserve">RAN3 </w:t>
      </w:r>
      <w:r w:rsidR="00AF156C">
        <w:t xml:space="preserve">has made following </w:t>
      </w:r>
      <w:r>
        <w:t>a</w:t>
      </w:r>
      <w:r w:rsidR="00E72630">
        <w:t>gre</w:t>
      </w:r>
      <w:r w:rsidR="00AF156C">
        <w:t>ements related to PCI collision detection/avoidance</w:t>
      </w:r>
      <w:r w:rsidR="00FF5D5F">
        <w:t>:</w:t>
      </w:r>
      <w:r w:rsidR="00D760EB">
        <w:t xml:space="preserve"> </w:t>
      </w:r>
    </w:p>
    <w:p w14:paraId="6A78558E" w14:textId="7962A2AB" w:rsidR="00B575DB"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55E1EFF2"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via OAM configuration can be used in some cases for avoidance of PCI collisions.</w:t>
      </w:r>
    </w:p>
    <w:p w14:paraId="57BF05A8"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From RAN3 perspective, existing mechanism can be used for PCI collision detection in mobile IAB scenario. Further enhancement is FFS. </w:t>
      </w:r>
    </w:p>
    <w:p w14:paraId="5648E9B4"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to discuss whether mobile IAB needs any enhancements to the existing mechanisms for PCI collision avoidance and/or optimization.</w:t>
      </w:r>
    </w:p>
    <w:p w14:paraId="463A78E7"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From RAN3 perspective, no enhancements are needed for RACH collision avoidance unless requested by other WGs.</w:t>
      </w:r>
    </w:p>
    <w:p w14:paraId="4C3D1FF1"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is performed by OAM and up to implementation.</w:t>
      </w:r>
    </w:p>
    <w:p w14:paraId="5FFF3B36"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As baseline, to avoid PCI collision, F1-terminating IAB-donor can reconfigure PCI for the cell of mobile IAB-DU via existing F1AP message.</w:t>
      </w:r>
    </w:p>
    <w:p w14:paraId="5D8F7E93"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PCI-change on the IAB-node can be supported via handover of connected UEs between cells using old and new PCI, respectively.</w:t>
      </w:r>
    </w:p>
    <w:p w14:paraId="08429A41" w14:textId="5E367AC2" w:rsidR="00B575DB" w:rsidRDefault="00AF156C" w:rsidP="00AF156C">
      <w:pPr>
        <w:ind w:left="289"/>
        <w:rPr>
          <w:rFonts w:ascii="Calibri" w:hAnsi="Calibri" w:cs="Calibri"/>
          <w:b/>
          <w:color w:val="008000"/>
          <w:sz w:val="18"/>
          <w:szCs w:val="18"/>
        </w:rPr>
      </w:pPr>
      <w:r w:rsidRPr="00AF156C">
        <w:rPr>
          <w:rFonts w:ascii="Calibri" w:hAnsi="Calibri" w:cs="Calibri"/>
          <w:b/>
          <w:color w:val="008000"/>
          <w:sz w:val="18"/>
          <w:szCs w:val="18"/>
        </w:rPr>
        <w:t>PCI collision can be detected by the F1-terminating IAB-donor of the mobile IAB-node.</w:t>
      </w:r>
    </w:p>
    <w:p w14:paraId="798005EA" w14:textId="4E1E6FBF" w:rsidR="00AF156C" w:rsidRDefault="00B575DB" w:rsidP="00AF156C">
      <w:pPr>
        <w:spacing w:after="240"/>
        <w:ind w:left="289"/>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2F931025" w14:textId="0E667A4F" w:rsidR="00AF156C" w:rsidRDefault="00AF156C" w:rsidP="00AF156C">
      <w:pPr>
        <w:overflowPunct/>
        <w:autoSpaceDE/>
        <w:autoSpaceDN/>
        <w:adjustRightInd/>
        <w:jc w:val="left"/>
        <w:textAlignment w:val="auto"/>
      </w:pPr>
      <w:r>
        <w:t xml:space="preserve">Additionally, RAN3 has made following agreements on the availability of IP connectivity: </w:t>
      </w:r>
    </w:p>
    <w:p w14:paraId="0D0AC67C"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not to work on solutions addressing use cases where inter donor IP connectivity is not available.</w:t>
      </w:r>
    </w:p>
    <w:p w14:paraId="3229E5FF" w14:textId="77777777" w:rsid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For scenarios without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RAN3 to investigate whether IAB-related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w:t>
      </w:r>
      <w:proofErr w:type="spellStart"/>
      <w:r w:rsidRPr="00AF156C">
        <w:rPr>
          <w:rFonts w:ascii="Calibri" w:hAnsi="Calibri" w:cs="Calibri"/>
          <w:b/>
          <w:color w:val="008000"/>
          <w:sz w:val="18"/>
          <w:szCs w:val="18"/>
        </w:rPr>
        <w:t>signaling</w:t>
      </w:r>
      <w:proofErr w:type="spellEnd"/>
      <w:r w:rsidRPr="00AF156C">
        <w:rPr>
          <w:rFonts w:ascii="Calibri" w:hAnsi="Calibri" w:cs="Calibri"/>
          <w:b/>
          <w:color w:val="008000"/>
          <w:sz w:val="18"/>
          <w:szCs w:val="18"/>
        </w:rPr>
        <w:t xml:space="preserve"> for partial migration and DU migration can be carried via NG using a container to avoid the impact on the AMF.</w:t>
      </w:r>
    </w:p>
    <w:p w14:paraId="6060DD6C" w14:textId="77777777" w:rsidR="00AF156C" w:rsidRDefault="00AF156C">
      <w:pPr>
        <w:overflowPunct/>
        <w:autoSpaceDE/>
        <w:autoSpaceDN/>
        <w:adjustRightInd/>
        <w:spacing w:after="0"/>
        <w:jc w:val="left"/>
        <w:textAlignment w:val="auto"/>
        <w:rPr>
          <w:rFonts w:ascii="Calibri" w:hAnsi="Calibri" w:cs="Calibri"/>
          <w:b/>
          <w:color w:val="008000"/>
          <w:sz w:val="18"/>
          <w:szCs w:val="18"/>
          <w:lang w:eastAsia="en-US"/>
        </w:rPr>
      </w:pPr>
    </w:p>
    <w:p w14:paraId="280F9195" w14:textId="5E77D497" w:rsidR="009F4DB4" w:rsidRDefault="009F4DB4" w:rsidP="00327B35">
      <w:pPr>
        <w:overflowPunct/>
        <w:autoSpaceDE/>
        <w:autoSpaceDN/>
        <w:adjustRightInd/>
        <w:jc w:val="left"/>
        <w:textAlignment w:val="auto"/>
      </w:pPr>
      <w:r>
        <w:t>Open areas that RAN3#119bis-e identified were</w:t>
      </w:r>
      <w:r w:rsidR="00282517">
        <w:t xml:space="preserve"> [2],[3]</w:t>
      </w:r>
      <w:r>
        <w:t>:</w:t>
      </w:r>
    </w:p>
    <w:p w14:paraId="204C9032"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w:t>
      </w:r>
    </w:p>
    <w:p w14:paraId="34449B0B"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without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if the scenario is supported. </w:t>
      </w:r>
    </w:p>
    <w:p w14:paraId="22A2A3D9" w14:textId="46FCCD69"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Whether PCI collision between mobile IAB cells can be predicted based on existing UE measurement report.</w:t>
      </w:r>
    </w:p>
    <w:p w14:paraId="4FA29CA3" w14:textId="77777777" w:rsidR="009F4DB4" w:rsidRDefault="009F4DB4">
      <w:pPr>
        <w:overflowPunct/>
        <w:autoSpaceDE/>
        <w:autoSpaceDN/>
        <w:adjustRightInd/>
        <w:spacing w:after="0"/>
        <w:jc w:val="left"/>
        <w:textAlignment w:val="auto"/>
      </w:pPr>
    </w:p>
    <w:p w14:paraId="70F1F9B2" w14:textId="7B5EB467" w:rsidR="00E72630" w:rsidRDefault="007436F7">
      <w:pPr>
        <w:overflowPunct/>
        <w:autoSpaceDE/>
        <w:autoSpaceDN/>
        <w:adjustRightInd/>
        <w:spacing w:after="0"/>
        <w:jc w:val="left"/>
        <w:textAlignment w:val="auto"/>
      </w:pPr>
      <w:r>
        <w:t>In t</w:t>
      </w:r>
      <w:r w:rsidR="00B575DB">
        <w:t>his contribution</w:t>
      </w:r>
      <w:r>
        <w:t xml:space="preserve"> we </w:t>
      </w:r>
      <w:r w:rsidR="009F4DB4">
        <w:t xml:space="preserve">elaborate </w:t>
      </w:r>
      <w:r>
        <w:t xml:space="preserve">the </w:t>
      </w:r>
      <w:r w:rsidR="00AF156C">
        <w:t xml:space="preserve">open </w:t>
      </w:r>
      <w:r>
        <w:t xml:space="preserve">issues </w:t>
      </w:r>
      <w:r w:rsidR="009F4DB4">
        <w:t>and propose a suitable way forward</w:t>
      </w:r>
      <w:r>
        <w: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lastRenderedPageBreak/>
        <w:t>Discussion</w:t>
      </w:r>
    </w:p>
    <w:p w14:paraId="1486A628" w14:textId="328B4869" w:rsidR="00437428" w:rsidRDefault="00437428" w:rsidP="00437428">
      <w:pPr>
        <w:pStyle w:val="Heading2"/>
      </w:pPr>
      <w:r>
        <w:t>2.1 PCI collision detection and avoidance</w:t>
      </w:r>
    </w:p>
    <w:p w14:paraId="37869C79" w14:textId="40AACE48" w:rsidR="009443C0" w:rsidRDefault="00726160" w:rsidP="00E142B5">
      <w:pPr>
        <w:pStyle w:val="Heading2"/>
      </w:pPr>
      <w:r>
        <w:t>2.1</w:t>
      </w:r>
      <w:r w:rsidR="00437428">
        <w:t>.1</w:t>
      </w:r>
      <w:r>
        <w:t xml:space="preserve"> </w:t>
      </w:r>
      <w:proofErr w:type="spellStart"/>
      <w:r w:rsidR="00327B35">
        <w:t>Xn</w:t>
      </w:r>
      <w:proofErr w:type="spellEnd"/>
      <w:r w:rsidR="00327B35">
        <w:t xml:space="preserve"> existing between IAB-DU’s donor and IAB-MT’s donor</w:t>
      </w:r>
    </w:p>
    <w:p w14:paraId="6FD2453F" w14:textId="77777777" w:rsidR="00F10B7B" w:rsidRDefault="00327B35" w:rsidP="00FF5D5F">
      <w:r>
        <w:t xml:space="preserve">This scenario can be assumed to be a baseline case. The deployment of a network supporting mobile IAB can be such that the partial migration covers the area where the </w:t>
      </w:r>
      <w:proofErr w:type="spellStart"/>
      <w:r>
        <w:t>Xn</w:t>
      </w:r>
      <w:proofErr w:type="spellEnd"/>
      <w:r>
        <w:t xml:space="preserve"> is always available between the donors of IAB-MT and IAB-DU. The</w:t>
      </w:r>
      <w:r w:rsidR="00F10B7B">
        <w:t xml:space="preserve"> deployment can be such that some of the </w:t>
      </w:r>
      <w:proofErr w:type="spellStart"/>
      <w:r w:rsidR="00F10B7B">
        <w:t>gNBs</w:t>
      </w:r>
      <w:proofErr w:type="spellEnd"/>
      <w:r w:rsidR="00F10B7B">
        <w:t xml:space="preserve"> can be assigned to act as “anchors” </w:t>
      </w:r>
      <w:proofErr w:type="gramStart"/>
      <w:r w:rsidR="00F10B7B">
        <w:t>i.e.</w:t>
      </w:r>
      <w:proofErr w:type="gramEnd"/>
      <w:r w:rsidR="00F10B7B">
        <w:t xml:space="preserve"> F1-terminating CUs allowing partial migration within the area where “</w:t>
      </w:r>
      <w:proofErr w:type="spellStart"/>
      <w:r w:rsidR="00F10B7B">
        <w:t>Xn</w:t>
      </w:r>
      <w:proofErr w:type="spellEnd"/>
      <w:r w:rsidR="00F10B7B">
        <w:t xml:space="preserve"> coverage” exists. Another anchor may then cover the following area and full migration will happen between the anchors. Obviously, the PCI collision detection and avoidance can be done by the F1-terminating donor within its </w:t>
      </w:r>
      <w:proofErr w:type="spellStart"/>
      <w:r w:rsidR="00F10B7B">
        <w:t>Xn</w:t>
      </w:r>
      <w:proofErr w:type="spellEnd"/>
      <w:r w:rsidR="00F10B7B">
        <w:t xml:space="preserve"> coverage area.</w:t>
      </w:r>
    </w:p>
    <w:p w14:paraId="71F2A90C" w14:textId="5EC6AF0E" w:rsidR="00327B35" w:rsidRDefault="00F10B7B" w:rsidP="00FF5D5F">
      <w:r>
        <w:t xml:space="preserve">At the edge of the </w:t>
      </w:r>
      <w:proofErr w:type="spellStart"/>
      <w:r>
        <w:t>Xn</w:t>
      </w:r>
      <w:proofErr w:type="spellEnd"/>
      <w:r>
        <w:t xml:space="preserve"> coverage, there can be </w:t>
      </w:r>
      <w:proofErr w:type="spellStart"/>
      <w:r>
        <w:t>Xn</w:t>
      </w:r>
      <w:proofErr w:type="spellEnd"/>
      <w:r>
        <w:t xml:space="preserve"> between the donors allowing exchange of cell information. The cell information will therefore be provided beyond the </w:t>
      </w:r>
      <w:proofErr w:type="spellStart"/>
      <w:r>
        <w:t>Xn</w:t>
      </w:r>
      <w:proofErr w:type="spellEnd"/>
      <w:r>
        <w:t xml:space="preserve"> coverage of F1-terminating donor enabling collision detection also in the extended area and prior to full migration.</w:t>
      </w:r>
    </w:p>
    <w:p w14:paraId="073686D4" w14:textId="234C909F" w:rsidR="00F10B7B" w:rsidRDefault="00437428" w:rsidP="00FF5D5F">
      <w:r>
        <w:t xml:space="preserve">Considering the above, existing means to share cell information over </w:t>
      </w:r>
      <w:proofErr w:type="spellStart"/>
      <w:r>
        <w:t>Xn</w:t>
      </w:r>
      <w:proofErr w:type="spellEnd"/>
      <w:r>
        <w:t xml:space="preserve"> will be sufficient for PCI collision detection and avoidance in the scenario where </w:t>
      </w:r>
      <w:proofErr w:type="spellStart"/>
      <w:r>
        <w:t>Xn</w:t>
      </w:r>
      <w:proofErr w:type="spellEnd"/>
      <w:r>
        <w:t xml:space="preserve"> exists between IAB-DU’s and IAB-MT’s donors.</w:t>
      </w:r>
    </w:p>
    <w:p w14:paraId="21B2D2FB" w14:textId="04C63CA9" w:rsidR="00437428" w:rsidRDefault="00437428" w:rsidP="00FF5D5F">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4411E48E" w14:textId="77777777" w:rsidR="00A07AC5" w:rsidRPr="00437428" w:rsidRDefault="00A07AC5" w:rsidP="00FF5D5F">
      <w:pPr>
        <w:rPr>
          <w:b/>
          <w:bCs/>
        </w:rPr>
      </w:pPr>
    </w:p>
    <w:p w14:paraId="20E608EE" w14:textId="7B7D795B" w:rsidR="00437428" w:rsidRDefault="00437428" w:rsidP="00437428">
      <w:pPr>
        <w:pStyle w:val="Heading2"/>
      </w:pPr>
      <w:r>
        <w:t xml:space="preserve">2.1.2 No </w:t>
      </w:r>
      <w:proofErr w:type="spellStart"/>
      <w:r>
        <w:t>Xn</w:t>
      </w:r>
      <w:proofErr w:type="spellEnd"/>
      <w:r>
        <w:t xml:space="preserve"> between IAB-DU’s donor and IAB-MT’s donor</w:t>
      </w:r>
    </w:p>
    <w:p w14:paraId="46F19289" w14:textId="192A8E59" w:rsidR="00437428" w:rsidRDefault="00491153" w:rsidP="00437428">
      <w:r>
        <w:t xml:space="preserve">Consecutive partial migrations are supported in Rel.18 when the F1-terminating CU had </w:t>
      </w:r>
      <w:proofErr w:type="spellStart"/>
      <w:r>
        <w:t>Xn</w:t>
      </w:r>
      <w:proofErr w:type="spellEnd"/>
      <w:r>
        <w:t xml:space="preserve"> to the IAB-MT’s target donor. This is needed to move the F1 transport from the IAB-MT’s source donor to the target donor. Therefore, </w:t>
      </w:r>
      <w:proofErr w:type="gramStart"/>
      <w:r>
        <w:t>as long as</w:t>
      </w:r>
      <w:proofErr w:type="gramEnd"/>
      <w:r>
        <w:t xml:space="preserve"> partial migrations can be executed, there will not be a case where </w:t>
      </w:r>
      <w:proofErr w:type="spellStart"/>
      <w:r>
        <w:t>Xn</w:t>
      </w:r>
      <w:proofErr w:type="spellEnd"/>
      <w:r>
        <w:t xml:space="preserve"> wouldn’t exist between the IAB-DU’s donor and IAB-MT’s donor.</w:t>
      </w:r>
    </w:p>
    <w:p w14:paraId="10A39F70" w14:textId="07E8C602" w:rsidR="00966E84" w:rsidRPr="00966E84" w:rsidRDefault="00966E84" w:rsidP="00437428">
      <w:pPr>
        <w:rPr>
          <w:b/>
          <w:bCs/>
        </w:rPr>
      </w:pPr>
      <w:r w:rsidRPr="00966E84">
        <w:rPr>
          <w:b/>
          <w:bCs/>
        </w:rPr>
        <w:t xml:space="preserve">Observation 1. Partial migrations as per Rel.17 specifications </w:t>
      </w:r>
      <w:r w:rsidR="00EF2536">
        <w:rPr>
          <w:b/>
          <w:bCs/>
        </w:rPr>
        <w:t>is performed</w:t>
      </w:r>
      <w:r w:rsidRPr="00966E84">
        <w:rPr>
          <w:b/>
          <w:bCs/>
        </w:rPr>
        <w:t xml:space="preserve"> when </w:t>
      </w:r>
      <w:proofErr w:type="spellStart"/>
      <w:r w:rsidRPr="00966E84">
        <w:rPr>
          <w:b/>
          <w:bCs/>
        </w:rPr>
        <w:t>Xn</w:t>
      </w:r>
      <w:proofErr w:type="spellEnd"/>
      <w:r w:rsidRPr="00966E84">
        <w:rPr>
          <w:b/>
          <w:bCs/>
        </w:rPr>
        <w:t xml:space="preserve"> is available between the F1-terminating donor and the target donor of the IAB-MT.</w:t>
      </w:r>
    </w:p>
    <w:p w14:paraId="4D652AAC" w14:textId="282F0203" w:rsidR="00953625" w:rsidRDefault="000C75D7" w:rsidP="00437428">
      <w:r>
        <w:t xml:space="preserve">In case no </w:t>
      </w:r>
      <w:proofErr w:type="spellStart"/>
      <w:r>
        <w:t>Xn</w:t>
      </w:r>
      <w:proofErr w:type="spellEnd"/>
      <w:r>
        <w:t xml:space="preserve"> between the</w:t>
      </w:r>
      <w:r w:rsidRPr="000C75D7">
        <w:t xml:space="preserve"> </w:t>
      </w:r>
      <w:r w:rsidRPr="00646174">
        <w:t>F1-terminating donor and the target donor of the IAB-MT</w:t>
      </w:r>
      <w:r>
        <w:t xml:space="preserve">, e.g. when the two donors are not </w:t>
      </w:r>
      <w:proofErr w:type="spellStart"/>
      <w:r>
        <w:t>neighbor</w:t>
      </w:r>
      <w:proofErr w:type="spellEnd"/>
      <w:r>
        <w:t xml:space="preserve"> and not be able to use </w:t>
      </w:r>
      <w:r w:rsidR="00203863">
        <w:t xml:space="preserve">SON to establish the </w:t>
      </w:r>
      <w:proofErr w:type="spellStart"/>
      <w:r w:rsidR="00203863">
        <w:t>Xn</w:t>
      </w:r>
      <w:proofErr w:type="spellEnd"/>
      <w:r w:rsidR="00203863">
        <w:t xml:space="preserve"> interface,</w:t>
      </w:r>
      <w:r w:rsidR="00342E18">
        <w:t xml:space="preserve"> the </w:t>
      </w:r>
      <w:proofErr w:type="spellStart"/>
      <w:r w:rsidR="00342E18">
        <w:t>Xn</w:t>
      </w:r>
      <w:proofErr w:type="spellEnd"/>
      <w:r w:rsidR="00342E18">
        <w:t xml:space="preserve"> may be established</w:t>
      </w:r>
      <w:r w:rsidR="00706BBF">
        <w:t xml:space="preserve"> via configuration (e.g. up to operator’s decision) or </w:t>
      </w:r>
      <w:r w:rsidR="00A047B6">
        <w:t>established</w:t>
      </w:r>
      <w:r w:rsidR="00953625">
        <w:t xml:space="preserve"> in a dynamic manner</w:t>
      </w:r>
      <w:r w:rsidR="00685186">
        <w:t>, e.g.</w:t>
      </w:r>
      <w:r w:rsidR="00953625">
        <w:t xml:space="preserve"> the F1-terminating donor </w:t>
      </w:r>
      <w:r w:rsidR="00685186">
        <w:t xml:space="preserve">is </w:t>
      </w:r>
      <w:r w:rsidR="00953625">
        <w:t>to be made aware of the target cell/donor to which IAB-MT is about to move.</w:t>
      </w:r>
      <w:r w:rsidR="00FC0811">
        <w:t xml:space="preserve"> It is up to operator to decide whether the PCI </w:t>
      </w:r>
      <w:r w:rsidR="002E04C3">
        <w:t xml:space="preserve">can be an issue based on operator’s deployment, and thus requiring the </w:t>
      </w:r>
      <w:proofErr w:type="spellStart"/>
      <w:r w:rsidR="002E04C3">
        <w:t>Xn</w:t>
      </w:r>
      <w:proofErr w:type="spellEnd"/>
      <w:r w:rsidR="002E04C3">
        <w:t xml:space="preserve"> establishment.</w:t>
      </w:r>
    </w:p>
    <w:p w14:paraId="1BCD373A" w14:textId="05256F5C" w:rsidR="00282517" w:rsidRDefault="00953625" w:rsidP="00437428">
      <w:r>
        <w:t xml:space="preserve">Related to this, RAN3 </w:t>
      </w:r>
      <w:r w:rsidR="00FD3472">
        <w:t xml:space="preserve">is </w:t>
      </w:r>
      <w:r>
        <w:t>discuss</w:t>
      </w:r>
      <w:r w:rsidR="00FD3472">
        <w:t>ing</w:t>
      </w:r>
      <w:r>
        <w:t xml:space="preserve"> full migration </w:t>
      </w:r>
      <w:r w:rsidR="00FD3472">
        <w:t xml:space="preserve">options </w:t>
      </w:r>
      <w:r>
        <w:t xml:space="preserve">(with two logical DUs) and </w:t>
      </w:r>
      <w:r w:rsidR="00FD3472">
        <w:t xml:space="preserve">whether to use F1AP or </w:t>
      </w:r>
      <w:proofErr w:type="spellStart"/>
      <w:r w:rsidR="00FD3472">
        <w:t>XnAP</w:t>
      </w:r>
      <w:proofErr w:type="spellEnd"/>
      <w:r w:rsidR="00FD3472">
        <w:t xml:space="preserve"> to provide IAB-DUs CU with the information of the </w:t>
      </w:r>
      <w:proofErr w:type="spellStart"/>
      <w:r w:rsidRPr="00953625">
        <w:t>mIAB</w:t>
      </w:r>
      <w:proofErr w:type="spellEnd"/>
      <w:r w:rsidRPr="00953625">
        <w:t xml:space="preserve">-MT’s </w:t>
      </w:r>
      <w:r w:rsidR="00FD3472">
        <w:t>CU, [4]</w:t>
      </w:r>
      <w:r>
        <w:t xml:space="preserve">. If </w:t>
      </w:r>
      <w:r w:rsidR="00FD3472">
        <w:t xml:space="preserve">F1AP </w:t>
      </w:r>
      <w:r>
        <w:t xml:space="preserve">was agreed, the </w:t>
      </w:r>
      <w:r w:rsidR="00FD3472">
        <w:t xml:space="preserve">F1AP would be extended to carry the </w:t>
      </w:r>
      <w:proofErr w:type="spellStart"/>
      <w:r w:rsidR="00FD3472">
        <w:t>gNB</w:t>
      </w:r>
      <w:proofErr w:type="spellEnd"/>
      <w:r w:rsidR="00FD3472">
        <w:t xml:space="preserve"> ID of the IAB-MT’s target node. </w:t>
      </w:r>
      <w:r w:rsidR="004B148D">
        <w:t xml:space="preserve">It is </w:t>
      </w:r>
      <w:r w:rsidR="004F7AB2">
        <w:t xml:space="preserve">for further discussion </w:t>
      </w:r>
      <w:r w:rsidR="004B148D">
        <w:t>if the F1AP extension include</w:t>
      </w:r>
      <w:r w:rsidR="004F7AB2">
        <w:t>s</w:t>
      </w:r>
      <w:r w:rsidR="004B148D">
        <w:t xml:space="preserve"> also other information. With such enhancement</w:t>
      </w:r>
      <w:r w:rsidR="004F7AB2">
        <w:t xml:space="preserve"> the IAB-DU’s CU can be made aware of the IAB-MT’s target </w:t>
      </w:r>
      <w:proofErr w:type="spellStart"/>
      <w:r w:rsidR="004F7AB2">
        <w:t>gNB</w:t>
      </w:r>
      <w:proofErr w:type="spellEnd"/>
      <w:r w:rsidR="004F7AB2">
        <w:t>, and</w:t>
      </w:r>
      <w:r w:rsidR="004B148D">
        <w:t>, i</w:t>
      </w:r>
      <w:r w:rsidR="00C97D43">
        <w:t xml:space="preserve">f </w:t>
      </w:r>
      <w:proofErr w:type="spellStart"/>
      <w:r w:rsidR="00C97D43">
        <w:t>Xn</w:t>
      </w:r>
      <w:proofErr w:type="spellEnd"/>
      <w:r w:rsidR="00C97D43">
        <w:t xml:space="preserve"> was missing between the IAB-DU’s CU and the </w:t>
      </w:r>
      <w:r w:rsidR="004B148D">
        <w:t xml:space="preserve">IAB-MT’s </w:t>
      </w:r>
      <w:r w:rsidR="00C97D43">
        <w:t xml:space="preserve">target </w:t>
      </w:r>
      <w:proofErr w:type="spellStart"/>
      <w:r w:rsidR="00C97D43">
        <w:t>gNB</w:t>
      </w:r>
      <w:proofErr w:type="spellEnd"/>
      <w:r w:rsidR="00C97D43">
        <w:t xml:space="preserve"> CU, the IAB-DU’s CU can initiate </w:t>
      </w:r>
      <w:proofErr w:type="spellStart"/>
      <w:r w:rsidR="00C97D43">
        <w:t>Xn</w:t>
      </w:r>
      <w:proofErr w:type="spellEnd"/>
      <w:r w:rsidR="00C97D43">
        <w:t xml:space="preserve"> setup to that </w:t>
      </w:r>
      <w:proofErr w:type="spellStart"/>
      <w:r w:rsidR="00C97D43">
        <w:t>gNB</w:t>
      </w:r>
      <w:proofErr w:type="spellEnd"/>
      <w:r w:rsidR="00C97D43">
        <w:t>.</w:t>
      </w:r>
      <w:r w:rsidR="00282517">
        <w:t xml:space="preserve"> This would be possible </w:t>
      </w:r>
      <w:r w:rsidR="004F7AB2">
        <w:t xml:space="preserve">in scenarios supported in Rel.18 </w:t>
      </w:r>
      <w:r w:rsidR="00282517">
        <w:t>as per RAN3 agreement</w:t>
      </w:r>
      <w:r w:rsidR="004F7AB2">
        <w:t xml:space="preserve"> about the availability of IP connectivity</w:t>
      </w:r>
      <w:r w:rsidR="00282517">
        <w:t>:</w:t>
      </w:r>
    </w:p>
    <w:p w14:paraId="4A24C482" w14:textId="2ACC6A30" w:rsidR="00491153" w:rsidRDefault="00282517" w:rsidP="004F7AB2">
      <w:pPr>
        <w:spacing w:after="240"/>
        <w:ind w:firstLine="561"/>
      </w:pPr>
      <w:r w:rsidRPr="00282517">
        <w:rPr>
          <w:rFonts w:ascii="Calibri" w:hAnsi="Calibri" w:cs="Calibri"/>
          <w:b/>
          <w:color w:val="008000"/>
        </w:rPr>
        <w:t>RAN3 not to work on solutions addressing use cases where inter donor IP connectivity is not available</w:t>
      </w:r>
      <w:r>
        <w:t>.</w:t>
      </w:r>
    </w:p>
    <w:p w14:paraId="436C4E9A" w14:textId="082DC0FE" w:rsidR="00C97D43" w:rsidRPr="00C97D43" w:rsidRDefault="00C97D43" w:rsidP="00437428">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282517">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6470B93B" w14:textId="1F319F9E" w:rsidR="00437428" w:rsidRPr="00A07AC5" w:rsidRDefault="00A07AC5" w:rsidP="00437428">
      <w:pPr>
        <w:rPr>
          <w:b/>
          <w:bCs/>
        </w:rPr>
      </w:pPr>
      <w:r w:rsidRPr="00A07AC5">
        <w:rPr>
          <w:b/>
          <w:bCs/>
        </w:rPr>
        <w:t xml:space="preserve">Proposal 2. </w:t>
      </w:r>
      <w:r w:rsidR="0040663A">
        <w:rPr>
          <w:b/>
          <w:bCs/>
        </w:rPr>
        <w:t xml:space="preserve">If needed, </w:t>
      </w:r>
      <w:r w:rsidR="00C97D43">
        <w:rPr>
          <w:b/>
          <w:bCs/>
        </w:rPr>
        <w:t xml:space="preserve">RAN3 to consider F1 enhancement </w:t>
      </w:r>
      <w:r w:rsidR="00EA2E29">
        <w:rPr>
          <w:b/>
          <w:bCs/>
        </w:rPr>
        <w:t xml:space="preserve">to include (target) </w:t>
      </w:r>
      <w:proofErr w:type="spellStart"/>
      <w:r w:rsidR="00EA2E29">
        <w:rPr>
          <w:b/>
          <w:bCs/>
        </w:rPr>
        <w:t>gNB</w:t>
      </w:r>
      <w:proofErr w:type="spellEnd"/>
      <w:r w:rsidR="00EA2E29">
        <w:rPr>
          <w:b/>
          <w:bCs/>
        </w:rPr>
        <w:t xml:space="preserve"> ID enabling </w:t>
      </w:r>
      <w:r w:rsidR="00C97D43">
        <w:rPr>
          <w:b/>
          <w:bCs/>
        </w:rPr>
        <w:t xml:space="preserve">dynamic </w:t>
      </w:r>
      <w:proofErr w:type="spellStart"/>
      <w:r w:rsidR="00C97D43">
        <w:rPr>
          <w:b/>
          <w:bCs/>
        </w:rPr>
        <w:t>Xn</w:t>
      </w:r>
      <w:proofErr w:type="spellEnd"/>
      <w:r w:rsidR="00C97D43">
        <w:rPr>
          <w:b/>
          <w:bCs/>
        </w:rPr>
        <w:t xml:space="preserve"> setup in case no </w:t>
      </w:r>
      <w:proofErr w:type="spellStart"/>
      <w:r w:rsidR="00C97D43">
        <w:rPr>
          <w:b/>
          <w:bCs/>
        </w:rPr>
        <w:t>Xn</w:t>
      </w:r>
      <w:proofErr w:type="spellEnd"/>
      <w:r w:rsidR="00C97D43">
        <w:rPr>
          <w:b/>
          <w:bCs/>
        </w:rPr>
        <w:t xml:space="preserve"> between IAB-DU’s donor and IAB-MT’s target donor</w:t>
      </w:r>
      <w:r w:rsidRPr="00A07AC5">
        <w:rPr>
          <w:b/>
          <w:bCs/>
        </w:rPr>
        <w:t>.</w:t>
      </w:r>
    </w:p>
    <w:p w14:paraId="729CCF36" w14:textId="2E629AB6" w:rsidR="00A07AC5" w:rsidRDefault="00A07AC5" w:rsidP="00437428"/>
    <w:p w14:paraId="092E44AE" w14:textId="7959A2F9" w:rsidR="00A07AC5" w:rsidRDefault="00A07AC5" w:rsidP="00A07AC5">
      <w:pPr>
        <w:pStyle w:val="Heading2"/>
      </w:pPr>
      <w:r>
        <w:t xml:space="preserve">2.1.3 </w:t>
      </w:r>
      <w:r w:rsidR="003856BD">
        <w:t>Prediction of PCI collision based on existing UE measurement reporting</w:t>
      </w:r>
    </w:p>
    <w:p w14:paraId="17794F7E" w14:textId="77777777" w:rsidR="00EA6471" w:rsidRDefault="00112358" w:rsidP="00A07AC5">
      <w:r>
        <w:t xml:space="preserve">UE measurements may not be reliable means for PCI collision detection. When the UEs </w:t>
      </w:r>
      <w:proofErr w:type="gramStart"/>
      <w:r>
        <w:t>are able to</w:t>
      </w:r>
      <w:proofErr w:type="gramEnd"/>
      <w:r>
        <w:t xml:space="preserve"> detect another cell with the same PCI, the collision may already happen, and the reaction may therefore be late.</w:t>
      </w:r>
    </w:p>
    <w:p w14:paraId="14848DD2" w14:textId="3B67A4D1" w:rsidR="00EA6471" w:rsidRPr="00EA6471" w:rsidRDefault="00EA6471" w:rsidP="00A07AC5">
      <w:pPr>
        <w:rPr>
          <w:b/>
          <w:bCs/>
        </w:rPr>
      </w:pPr>
      <w:r w:rsidRPr="00EA6471">
        <w:rPr>
          <w:b/>
          <w:bCs/>
        </w:rPr>
        <w:lastRenderedPageBreak/>
        <w:t>Observation 3. UE measurement reporting is not a reliable means to detect PCI collisions.</w:t>
      </w:r>
    </w:p>
    <w:p w14:paraId="17D60944" w14:textId="23EB4A0D" w:rsidR="00A07AC5" w:rsidRDefault="00112358" w:rsidP="00A07AC5">
      <w:r>
        <w:t xml:space="preserve">IAB-MT is also measuring and detecting neighbour cells. Knowing the IAB-DU’s cell(s), the IAB-node could detect the collisions between IAB-nodes own cells and the cells in the neighbourhood. However, this may not always be reliable as the early detection, allowing timely reaction to potential collision, is not possible in all mobility scenarios. Early detection capability depends on the IAB-DU’s antenna orientation w.r.t cell coverage areas of the surrounding cells. Hence, IAB-MT’s reporting cannot be considered as a generic solution although could </w:t>
      </w:r>
      <w:r w:rsidR="00EA6471">
        <w:t>work or help in some scenarios.</w:t>
      </w:r>
    </w:p>
    <w:p w14:paraId="5F8F19E8" w14:textId="02668B1E" w:rsidR="002A5928" w:rsidRDefault="00EA6471" w:rsidP="00FF5D5F">
      <w:pPr>
        <w:rPr>
          <w:b/>
          <w:bCs/>
        </w:rPr>
      </w:pPr>
      <w:r>
        <w:rPr>
          <w:b/>
          <w:bCs/>
        </w:rPr>
        <w:t>Observation 4. IAB-MT’s measurement reporting would help in some cases but could fail to support the detection of PCI collisions depending on the antenna orientation(s) and the network cell layout.</w:t>
      </w:r>
    </w:p>
    <w:p w14:paraId="5424E49F" w14:textId="2CA94407" w:rsidR="004A4CE4" w:rsidRDefault="00EA6471" w:rsidP="00FF5D5F">
      <w:r>
        <w:t xml:space="preserve">Based on the discussion above, it can be concluded that the means available in RAN and signalling between RAN nodes can be considered as the primary means for PCI collision detection and avoidance while UE/MT measurements can just be assisting the donors. Therefore, the usage of UE/MT measurements can be left for network implementation </w:t>
      </w:r>
      <w:r w:rsidR="00282517">
        <w:t>whenever/if seen beneficial.</w:t>
      </w:r>
    </w:p>
    <w:p w14:paraId="74A39835" w14:textId="3A1D6184" w:rsidR="00282517" w:rsidRPr="00282517" w:rsidRDefault="00282517" w:rsidP="00FF5D5F">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49DFE1F0" w14:textId="77777777" w:rsidR="00EA6471" w:rsidRDefault="00EA6471" w:rsidP="00FF5D5F">
      <w:pPr>
        <w:rPr>
          <w:b/>
          <w:bCs/>
        </w:rPr>
      </w:pPr>
    </w:p>
    <w:p w14:paraId="2FAC0E80" w14:textId="4D0CDF35" w:rsidR="00075FFD" w:rsidRDefault="00075FFD" w:rsidP="00075FFD">
      <w:pPr>
        <w:pStyle w:val="Heading2"/>
      </w:pPr>
      <w:r>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FFS for the PCI reconfiguration in case of IAB-donor and IAB-node with different OAMs</w:t>
      </w:r>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5D0CAA5D" w:rsidR="00AB7E24" w:rsidRPr="00E142B5" w:rsidRDefault="00AB7E24" w:rsidP="00AB7E24">
      <w:pPr>
        <w:rPr>
          <w:b/>
          <w:bCs/>
        </w:rPr>
      </w:pPr>
      <w:r w:rsidRPr="00E142B5">
        <w:rPr>
          <w:b/>
          <w:bCs/>
        </w:rPr>
        <w:t xml:space="preserve">Observation </w:t>
      </w:r>
      <w:r w:rsidR="00282517">
        <w:rPr>
          <w:b/>
          <w:bCs/>
        </w:rPr>
        <w:t>5</w:t>
      </w:r>
      <w:r w:rsidRPr="00E142B5">
        <w:rPr>
          <w:b/>
          <w:bCs/>
        </w:rPr>
        <w:t xml:space="preserve">.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36D8A41E" w:rsidR="00AB7E24" w:rsidRPr="00E142B5" w:rsidRDefault="00AB7E24" w:rsidP="00AB7E24">
      <w:pPr>
        <w:rPr>
          <w:b/>
          <w:bCs/>
        </w:rPr>
      </w:pPr>
      <w:r w:rsidRPr="00E142B5">
        <w:rPr>
          <w:b/>
          <w:bCs/>
        </w:rPr>
        <w:t xml:space="preserve">Proposal </w:t>
      </w:r>
      <w:r w:rsidR="00282517">
        <w:rPr>
          <w:b/>
          <w:bCs/>
        </w:rPr>
        <w:t>4</w:t>
      </w:r>
      <w:r w:rsidRPr="00E142B5">
        <w:rPr>
          <w:b/>
          <w:bCs/>
        </w:rPr>
        <w:t xml:space="preserve">.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1E648D66" w14:textId="77777777" w:rsidR="0059376E" w:rsidRPr="00966E84" w:rsidRDefault="0059376E" w:rsidP="0059376E">
      <w:pPr>
        <w:rPr>
          <w:b/>
          <w:bCs/>
        </w:rPr>
      </w:pPr>
      <w:r w:rsidRPr="00966E84">
        <w:rPr>
          <w:b/>
          <w:bCs/>
        </w:rPr>
        <w:t xml:space="preserve">Observation 1. Partial migrations as per Rel.17 specifications can be done when </w:t>
      </w:r>
      <w:proofErr w:type="spellStart"/>
      <w:r w:rsidRPr="00966E84">
        <w:rPr>
          <w:b/>
          <w:bCs/>
        </w:rPr>
        <w:t>Xn</w:t>
      </w:r>
      <w:proofErr w:type="spellEnd"/>
      <w:r w:rsidRPr="00966E84">
        <w:rPr>
          <w:b/>
          <w:bCs/>
        </w:rPr>
        <w:t xml:space="preserve"> is available between the F1-terminating donor and the target donor of the IAB-MT.</w:t>
      </w:r>
    </w:p>
    <w:p w14:paraId="6C292140" w14:textId="76274637" w:rsidR="0059376E" w:rsidRPr="00C97D43" w:rsidRDefault="0059376E" w:rsidP="0059376E">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4F7AB2">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7EB5CEA9" w14:textId="77777777" w:rsidR="00282517" w:rsidRPr="00EA6471" w:rsidRDefault="00282517" w:rsidP="00282517">
      <w:pPr>
        <w:rPr>
          <w:b/>
          <w:bCs/>
        </w:rPr>
      </w:pPr>
      <w:r w:rsidRPr="00EA6471">
        <w:rPr>
          <w:b/>
          <w:bCs/>
        </w:rPr>
        <w:t>Observation 3. UE measurement reporting is not a reliable means to detect PCI collisions.</w:t>
      </w:r>
    </w:p>
    <w:p w14:paraId="0D6DC468" w14:textId="77777777" w:rsidR="00282517" w:rsidRDefault="00282517" w:rsidP="00282517">
      <w:pPr>
        <w:rPr>
          <w:b/>
          <w:bCs/>
        </w:rPr>
      </w:pPr>
      <w:r>
        <w:rPr>
          <w:b/>
          <w:bCs/>
        </w:rPr>
        <w:t>Observation 4. IAB-MT’s measurement reporting would help in some cases but could fail to support the detection of PCI collisions depending on the antenna orientation(s) and the network cell layout.</w:t>
      </w:r>
    </w:p>
    <w:p w14:paraId="20E35299" w14:textId="50EADA38" w:rsidR="007C6AC8" w:rsidRDefault="1D2F0918" w:rsidP="71F2CFE2">
      <w:pPr>
        <w:rPr>
          <w:b/>
          <w:bCs/>
        </w:rPr>
      </w:pPr>
      <w:r w:rsidRPr="32D47CC5">
        <w:rPr>
          <w:b/>
          <w:bCs/>
        </w:rPr>
        <w:t xml:space="preserve">Observation </w:t>
      </w:r>
      <w:r w:rsidR="00282517">
        <w:rPr>
          <w:b/>
          <w:bCs/>
        </w:rPr>
        <w:t>5</w:t>
      </w:r>
      <w:r w:rsidRPr="32D47CC5">
        <w:rPr>
          <w:b/>
          <w:bCs/>
        </w:rPr>
        <w:t xml:space="preserve">.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lastRenderedPageBreak/>
        <w:t>Based on the analysis we propose following:</w:t>
      </w:r>
    </w:p>
    <w:p w14:paraId="2D2D10BA" w14:textId="77777777" w:rsidR="0059376E" w:rsidRDefault="0059376E" w:rsidP="0059376E">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3227ABF7" w14:textId="264442DA" w:rsidR="0059376E" w:rsidRPr="00A07AC5" w:rsidRDefault="0059376E" w:rsidP="0059376E">
      <w:pPr>
        <w:rPr>
          <w:b/>
          <w:bCs/>
        </w:rPr>
      </w:pPr>
      <w:r w:rsidRPr="00A07AC5">
        <w:rPr>
          <w:b/>
          <w:bCs/>
        </w:rPr>
        <w:t xml:space="preserve">Proposal 2. </w:t>
      </w:r>
      <w:r>
        <w:rPr>
          <w:b/>
          <w:bCs/>
        </w:rPr>
        <w:t xml:space="preserve">RAN3 to consider F1 enhancement to </w:t>
      </w:r>
      <w:r w:rsidR="00EA2E29">
        <w:rPr>
          <w:b/>
          <w:bCs/>
        </w:rPr>
        <w:t xml:space="preserve">include (target) </w:t>
      </w:r>
      <w:proofErr w:type="spellStart"/>
      <w:r w:rsidR="00EA2E29">
        <w:rPr>
          <w:b/>
          <w:bCs/>
        </w:rPr>
        <w:t>gNB</w:t>
      </w:r>
      <w:proofErr w:type="spellEnd"/>
      <w:r w:rsidR="00EA2E29">
        <w:rPr>
          <w:b/>
          <w:bCs/>
        </w:rPr>
        <w:t xml:space="preserve"> ID enabling </w:t>
      </w:r>
      <w:r>
        <w:rPr>
          <w:b/>
          <w:bCs/>
        </w:rPr>
        <w:t xml:space="preserve">dynamic </w:t>
      </w:r>
      <w:proofErr w:type="spellStart"/>
      <w:r>
        <w:rPr>
          <w:b/>
          <w:bCs/>
        </w:rPr>
        <w:t>Xn</w:t>
      </w:r>
      <w:proofErr w:type="spellEnd"/>
      <w:r>
        <w:rPr>
          <w:b/>
          <w:bCs/>
        </w:rPr>
        <w:t xml:space="preserve"> setup in case no </w:t>
      </w:r>
      <w:proofErr w:type="spellStart"/>
      <w:r>
        <w:rPr>
          <w:b/>
          <w:bCs/>
        </w:rPr>
        <w:t>Xn</w:t>
      </w:r>
      <w:proofErr w:type="spellEnd"/>
      <w:r>
        <w:rPr>
          <w:b/>
          <w:bCs/>
        </w:rPr>
        <w:t xml:space="preserve"> between IAB-DU’s donor and IAB-MT’s target donor</w:t>
      </w:r>
      <w:r w:rsidRPr="00A07AC5">
        <w:rPr>
          <w:b/>
          <w:bCs/>
        </w:rPr>
        <w:t>.</w:t>
      </w:r>
    </w:p>
    <w:p w14:paraId="2D6D092F" w14:textId="7151EACB" w:rsidR="00282517" w:rsidRPr="00282517" w:rsidRDefault="00282517" w:rsidP="00282517">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3655779F" w14:textId="7C8C33C9" w:rsidR="000D2BFD" w:rsidRPr="007C6AC8" w:rsidRDefault="3CA277B2" w:rsidP="32D47CC5">
      <w:pPr>
        <w:rPr>
          <w:b/>
          <w:bCs/>
        </w:rPr>
      </w:pPr>
      <w:r w:rsidRPr="32D47CC5">
        <w:rPr>
          <w:b/>
          <w:bCs/>
        </w:rPr>
        <w:t xml:space="preserve">Proposal </w:t>
      </w:r>
      <w:r w:rsidR="00282517">
        <w:rPr>
          <w:b/>
          <w:bCs/>
        </w:rPr>
        <w:t>4</w:t>
      </w:r>
      <w:r w:rsidRPr="32D47CC5">
        <w:rPr>
          <w:b/>
          <w:bCs/>
        </w:rPr>
        <w:t xml:space="preserve">.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7A101A7" w14:textId="2B96B165" w:rsidR="00FF5D5F" w:rsidRDefault="008208AF" w:rsidP="009443C0">
      <w:pPr>
        <w:numPr>
          <w:ilvl w:val="0"/>
          <w:numId w:val="21"/>
        </w:numPr>
        <w:spacing w:after="180"/>
        <w:jc w:val="left"/>
      </w:pPr>
      <w:r w:rsidRPr="008208AF">
        <w:t>RAN3_11</w:t>
      </w:r>
      <w:r w:rsidR="00282517">
        <w:t>9</w:t>
      </w:r>
      <w:r w:rsidRPr="008208AF">
        <w:t>bis-e_agenda_20221018_EOM</w:t>
      </w:r>
    </w:p>
    <w:p w14:paraId="6A15BD2F" w14:textId="078350E7" w:rsidR="003E54EC" w:rsidRDefault="003E54EC" w:rsidP="009443C0">
      <w:pPr>
        <w:numPr>
          <w:ilvl w:val="0"/>
          <w:numId w:val="21"/>
        </w:numPr>
        <w:spacing w:after="180"/>
        <w:jc w:val="left"/>
      </w:pPr>
      <w:r w:rsidRPr="003E54EC">
        <w:t>R3-2</w:t>
      </w:r>
      <w:r w:rsidR="00282517">
        <w:t>32116</w:t>
      </w:r>
      <w:r w:rsidRPr="003E54EC">
        <w:t xml:space="preserve">, </w:t>
      </w:r>
      <w:r w:rsidR="00282517" w:rsidRPr="00282517">
        <w:t>Summary of CB # IAB4_MitInt</w:t>
      </w:r>
    </w:p>
    <w:p w14:paraId="53C372C7" w14:textId="0016F509" w:rsidR="004B148D" w:rsidRDefault="004B148D" w:rsidP="009443C0">
      <w:pPr>
        <w:numPr>
          <w:ilvl w:val="0"/>
          <w:numId w:val="21"/>
        </w:numPr>
        <w:spacing w:after="180"/>
        <w:jc w:val="left"/>
      </w:pPr>
      <w:r w:rsidRPr="004B148D">
        <w:t>R3-231901</w:t>
      </w:r>
      <w:r>
        <w:t xml:space="preserve">, </w:t>
      </w:r>
      <w:r w:rsidRPr="004B148D">
        <w:t>CB # IAB2_IABMobility - Summary of email discussion</w:t>
      </w:r>
    </w:p>
    <w:sectPr w:rsidR="004B148D"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6344" w14:textId="77777777" w:rsidR="00B20D29" w:rsidRDefault="00B20D29">
      <w:r>
        <w:separator/>
      </w:r>
    </w:p>
  </w:endnote>
  <w:endnote w:type="continuationSeparator" w:id="0">
    <w:p w14:paraId="45AB1AF7" w14:textId="77777777" w:rsidR="00B20D29" w:rsidRDefault="00B20D29">
      <w:r>
        <w:continuationSeparator/>
      </w:r>
    </w:p>
  </w:endnote>
  <w:endnote w:type="continuationNotice" w:id="1">
    <w:p w14:paraId="4D2D3601" w14:textId="77777777" w:rsidR="00B20D29" w:rsidRDefault="00B20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1168" w14:textId="77777777" w:rsidR="00B20D29" w:rsidRDefault="00B20D29">
      <w:r>
        <w:separator/>
      </w:r>
    </w:p>
  </w:footnote>
  <w:footnote w:type="continuationSeparator" w:id="0">
    <w:p w14:paraId="0B38526A" w14:textId="77777777" w:rsidR="00B20D29" w:rsidRDefault="00B20D29">
      <w:r>
        <w:continuationSeparator/>
      </w:r>
    </w:p>
  </w:footnote>
  <w:footnote w:type="continuationNotice" w:id="1">
    <w:p w14:paraId="46A87EDF" w14:textId="77777777" w:rsidR="00B20D29" w:rsidRDefault="00B20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8"/>
  </w:num>
  <w:num w:numId="12">
    <w:abstractNumId w:val="3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7"/>
  </w:num>
  <w:num w:numId="18">
    <w:abstractNumId w:val="24"/>
  </w:num>
  <w:num w:numId="19">
    <w:abstractNumId w:val="36"/>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30"/>
  </w:num>
  <w:num w:numId="28">
    <w:abstractNumId w:val="32"/>
  </w:num>
  <w:num w:numId="29">
    <w:abstractNumId w:val="13"/>
  </w:num>
  <w:num w:numId="30">
    <w:abstractNumId w:val="31"/>
  </w:num>
  <w:num w:numId="31">
    <w:abstractNumId w:val="35"/>
  </w:num>
  <w:num w:numId="32">
    <w:abstractNumId w:val="33"/>
  </w:num>
  <w:num w:numId="33">
    <w:abstractNumId w:val="6"/>
  </w:num>
  <w:num w:numId="34">
    <w:abstractNumId w:val="9"/>
  </w:num>
  <w:num w:numId="35">
    <w:abstractNumId w:val="5"/>
  </w:num>
  <w:num w:numId="36">
    <w:abstractNumId w:val="18"/>
  </w:num>
  <w:num w:numId="37">
    <w:abstractNumId w:val="38"/>
  </w:num>
  <w:num w:numId="38">
    <w:abstractNumId w:val="30"/>
  </w:num>
  <w:num w:numId="39">
    <w:abstractNumId w:val="29"/>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5D7"/>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358"/>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0D53"/>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4791"/>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567"/>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1FF"/>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04A"/>
    <w:rsid w:val="00202287"/>
    <w:rsid w:val="0020259B"/>
    <w:rsid w:val="002027E4"/>
    <w:rsid w:val="00203863"/>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517"/>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4C3"/>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2E0"/>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27B35"/>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2E18"/>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6BD"/>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2A37"/>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4FC1"/>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3A"/>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2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C7B"/>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A0"/>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53"/>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48D"/>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4F7AB2"/>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376E"/>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63ED"/>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174"/>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186"/>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6BBF"/>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6A"/>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43A"/>
    <w:rsid w:val="0078177E"/>
    <w:rsid w:val="007818BE"/>
    <w:rsid w:val="00781CC8"/>
    <w:rsid w:val="00782ABD"/>
    <w:rsid w:val="00782FCE"/>
    <w:rsid w:val="0078304C"/>
    <w:rsid w:val="00783673"/>
    <w:rsid w:val="007836D9"/>
    <w:rsid w:val="0078415D"/>
    <w:rsid w:val="00784795"/>
    <w:rsid w:val="00784CB6"/>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C97"/>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625"/>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E84"/>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4DB4"/>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7B6"/>
    <w:rsid w:val="00A048A8"/>
    <w:rsid w:val="00A04CEE"/>
    <w:rsid w:val="00A04ED3"/>
    <w:rsid w:val="00A04F49"/>
    <w:rsid w:val="00A05F2D"/>
    <w:rsid w:val="00A064CA"/>
    <w:rsid w:val="00A06C98"/>
    <w:rsid w:val="00A07067"/>
    <w:rsid w:val="00A07372"/>
    <w:rsid w:val="00A076A8"/>
    <w:rsid w:val="00A07AC5"/>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231"/>
    <w:rsid w:val="00AB0BC8"/>
    <w:rsid w:val="00AB10DA"/>
    <w:rsid w:val="00AB11CA"/>
    <w:rsid w:val="00AB14D9"/>
    <w:rsid w:val="00AB1841"/>
    <w:rsid w:val="00AB2C88"/>
    <w:rsid w:val="00AB3C41"/>
    <w:rsid w:val="00AB42FD"/>
    <w:rsid w:val="00AB4AB8"/>
    <w:rsid w:val="00AB54D8"/>
    <w:rsid w:val="00AB570F"/>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56C"/>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0D2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B7EEA"/>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1F18"/>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47B63"/>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97D43"/>
    <w:rsid w:val="00CA0210"/>
    <w:rsid w:val="00CA0590"/>
    <w:rsid w:val="00CA0864"/>
    <w:rsid w:val="00CA10CC"/>
    <w:rsid w:val="00CA12D1"/>
    <w:rsid w:val="00CA1810"/>
    <w:rsid w:val="00CA1D8C"/>
    <w:rsid w:val="00CA1ED8"/>
    <w:rsid w:val="00CA2D3F"/>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DD"/>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15B"/>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4DC"/>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4C4F"/>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2E29"/>
    <w:rsid w:val="00EA33B1"/>
    <w:rsid w:val="00EA383B"/>
    <w:rsid w:val="00EA3D78"/>
    <w:rsid w:val="00EA4B49"/>
    <w:rsid w:val="00EA61C3"/>
    <w:rsid w:val="00EA62C3"/>
    <w:rsid w:val="00EA6471"/>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A78"/>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2536"/>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7B"/>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CEE"/>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11"/>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472"/>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styleId="UnresolvedMention">
    <w:name w:val="Unresolved Mention"/>
    <w:basedOn w:val="DefaultParagraphFont"/>
    <w:uiPriority w:val="99"/>
    <w:unhideWhenUsed/>
    <w:rsid w:val="00717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5AIRPNAIUNRU-1156379521-3885</_dlc_DocId>
    <_dlc_DocIdUrl xmlns="71c5aaf6-e6ce-465b-b873-5148d2a4c105">
      <Url>https://nokia.sharepoint.com/sites/c5g/e2earch/_layouts/15/DocIdRedir.aspx?ID=5AIRPNAIUNRU-1156379521-3885</Url>
      <Description>5AIRPNAIUNRU-1156379521-3885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2.xml><?xml version="1.0" encoding="utf-8"?>
<ds:datastoreItem xmlns:ds="http://schemas.openxmlformats.org/officeDocument/2006/customXml" ds:itemID="{56C54E28-FD57-4A63-9339-EAAE0514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b1e1cf1a-759b-4612-9ceb-2888e9efb08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R2-16xxxx - Contribution Template.dot</Template>
  <TotalTime>285</TotalTime>
  <Pages>4</Pages>
  <Words>1706</Words>
  <Characters>9008</Characters>
  <Application>Microsoft Office Word</Application>
  <DocSecurity>0</DocSecurity>
  <Lines>204</Lines>
  <Paragraphs>106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 Xu</cp:lastModifiedBy>
  <cp:revision>38</cp:revision>
  <cp:lastPrinted>2021-10-21T05:07:00Z</cp:lastPrinted>
  <dcterms:created xsi:type="dcterms:W3CDTF">2023-05-02T10:40:00Z</dcterms:created>
  <dcterms:modified xsi:type="dcterms:W3CDTF">2023-08-10T12:25:00Z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932069c1-35db-4ad8-8495-7a45248a05ff</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